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关于排查10月25日以来有中风险地区旅居史师生员工情况的紧急通知</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各单位：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11月8日至10日，天津市、上海市相继报告多例新冠肺炎本地病例，天津市滨海新</w:t>
      </w:r>
      <w:bookmarkStart w:id="0" w:name="_GoBack"/>
      <w:bookmarkEnd w:id="0"/>
      <w:r>
        <w:rPr>
          <w:rFonts w:hint="eastAsia" w:ascii="仿宋_GB2312" w:hAnsi="仿宋_GB2312" w:eastAsia="仿宋_GB2312" w:cs="仿宋_GB2312"/>
          <w:sz w:val="32"/>
          <w:szCs w:val="32"/>
        </w:rPr>
        <w:t>区汉沽街、中新渔港冷链物流区A区和B区、上海市浦东新区祝桥镇已被列为中风险地区。另据云南省临沧市耿马傣族佤族自治县通报，该县新增3例无症状感染者，均为缅甸籍，缅甸输入。11月10日，安徽省通报阜阳市颍上县新增1例确诊病例。为严防津沪地区新冠疫情输入我校，按照学校疫情防控工作要求，现将有关事项要求如下,请各单位抓好落实。</w:t>
      </w:r>
    </w:p>
    <w:p>
      <w:pPr>
        <w:numPr>
          <w:ilvl w:val="0"/>
          <w:numId w:val="1"/>
        </w:num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有天津市、上海市上述中风险地区及云南省临沧市耿马傣族佤族自治县、安徽省阜阳市颍上县旅行居住史，特别是10月25日以来到过天津市、上海市上述中风险地区及云南省临沧市耿马傣族佤族自治县、安徽省阜阳市颍上县的</w:t>
      </w:r>
      <w:r>
        <w:rPr>
          <w:rFonts w:hint="eastAsia" w:ascii="仿宋_GB2312" w:hAnsi="仿宋_GB2312" w:eastAsia="仿宋_GB2312" w:cs="仿宋_GB2312"/>
          <w:sz w:val="32"/>
          <w:szCs w:val="32"/>
        </w:rPr>
        <w:t>返校</w:t>
      </w:r>
      <w:r>
        <w:rPr>
          <w:rFonts w:ascii="仿宋_GB2312" w:hAnsi="仿宋_GB2312" w:eastAsia="仿宋_GB2312" w:cs="仿宋_GB2312"/>
          <w:sz w:val="32"/>
          <w:szCs w:val="32"/>
        </w:rPr>
        <w:t>人员，请积极配合政府部门</w:t>
      </w:r>
      <w:r>
        <w:rPr>
          <w:rFonts w:hint="eastAsia" w:ascii="仿宋_GB2312" w:hAnsi="仿宋_GB2312" w:eastAsia="仿宋_GB2312" w:cs="仿宋_GB2312"/>
          <w:sz w:val="32"/>
          <w:szCs w:val="32"/>
        </w:rPr>
        <w:t>和学校</w:t>
      </w:r>
      <w:r>
        <w:rPr>
          <w:rFonts w:ascii="仿宋_GB2312" w:hAnsi="仿宋_GB2312" w:eastAsia="仿宋_GB2312" w:cs="仿宋_GB2312"/>
          <w:sz w:val="32"/>
          <w:szCs w:val="32"/>
        </w:rPr>
        <w:t>的各项防控措施，主动向</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报备，告知接触情况，接受社区</w:t>
      </w:r>
      <w:r>
        <w:rPr>
          <w:rFonts w:hint="eastAsia" w:ascii="仿宋_GB2312" w:hAnsi="仿宋_GB2312" w:eastAsia="仿宋_GB2312" w:cs="仿宋_GB2312"/>
          <w:sz w:val="32"/>
          <w:szCs w:val="32"/>
        </w:rPr>
        <w:t>和学校</w:t>
      </w:r>
      <w:r>
        <w:rPr>
          <w:rFonts w:ascii="仿宋_GB2312" w:hAnsi="仿宋_GB2312" w:eastAsia="仿宋_GB2312" w:cs="仿宋_GB2312"/>
          <w:sz w:val="32"/>
          <w:szCs w:val="32"/>
        </w:rPr>
        <w:t>健康管理，并按要求进行核酸检测。</w:t>
      </w:r>
      <w:r>
        <w:rPr>
          <w:rFonts w:hint="eastAsia" w:ascii="仿宋_GB2312" w:hAnsi="仿宋_GB2312" w:eastAsia="仿宋_GB2312" w:cs="仿宋_GB2312"/>
          <w:sz w:val="32"/>
          <w:szCs w:val="32"/>
        </w:rPr>
        <w:t>请各单位党政负责人在本单位师生员工中认真排查（含顶岗实习学生在内），确保无一遗漏，并填报好《湖南石化职院中风险地区旅居史师生员工信息汇总表》（见附件1），于11月13日12:00前以电子表格形式发送至学校疫情防控办刘欣涛。</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rPr>
        <w:t>师生员工们</w:t>
      </w:r>
      <w:r>
        <w:rPr>
          <w:rFonts w:ascii="仿宋_GB2312" w:hAnsi="仿宋_GB2312" w:eastAsia="仿宋_GB2312" w:cs="仿宋_GB2312"/>
          <w:sz w:val="32"/>
          <w:szCs w:val="32"/>
        </w:rPr>
        <w:t>如无特殊情况，近期最好不前往天津市滨海新区和上海市浦东新区及云南省临沧市耿马傣族佤族自治县、安徽省阜阳市颍上县，必须要前往的，请提前了解当地防控要求并做好个人防护；从天津市滨海新区和上海市浦东新区及云南省临沧市耿马傣族佤族自治县、安徽省阜阳市颍上县</w:t>
      </w:r>
      <w:r>
        <w:rPr>
          <w:rFonts w:hint="eastAsia" w:ascii="仿宋_GB2312" w:hAnsi="仿宋_GB2312" w:eastAsia="仿宋_GB2312" w:cs="仿宋_GB2312"/>
          <w:sz w:val="32"/>
          <w:szCs w:val="32"/>
        </w:rPr>
        <w:t>返校</w:t>
      </w:r>
      <w:r>
        <w:rPr>
          <w:rFonts w:ascii="仿宋_GB2312" w:hAnsi="仿宋_GB2312" w:eastAsia="仿宋_GB2312" w:cs="仿宋_GB2312"/>
          <w:sz w:val="32"/>
          <w:szCs w:val="32"/>
        </w:rPr>
        <w:t>后，应主动配合省</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的相关防控措施。</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三、广大</w:t>
      </w:r>
      <w:r>
        <w:rPr>
          <w:rFonts w:hint="eastAsia" w:ascii="仿宋_GB2312" w:hAnsi="仿宋_GB2312" w:eastAsia="仿宋_GB2312" w:cs="仿宋_GB2312"/>
          <w:sz w:val="32"/>
          <w:szCs w:val="32"/>
        </w:rPr>
        <w:t>师生员工们</w:t>
      </w:r>
      <w:r>
        <w:rPr>
          <w:rFonts w:ascii="仿宋_GB2312" w:hAnsi="仿宋_GB2312" w:eastAsia="仿宋_GB2312" w:cs="仿宋_GB2312"/>
          <w:sz w:val="32"/>
          <w:szCs w:val="32"/>
        </w:rPr>
        <w:t>要时刻保持良好的个人防护意识，积极配合政府落实常态化防控措施。进入重点场所主动提供健康码，配合做好体温筛查、佩戴口罩和手卫生等防护措施（尤其是在乘坐公共交通工具和在公共场所活动时）；注意个人防护，科学规范佩戴口罩、勤洗手、常通风、保持安全社交距离的卫生习惯；不扎堆、不聚集，倡导健康生活方式；如出现发热、咳嗽、腹泻、乏力等症状，要佩戴一次性医用外科口罩，及时到就近的发热门诊进行诊疗，就医时尽量避免乘坐公共交通工具。</w:t>
      </w:r>
      <w:r>
        <w:rPr>
          <w:rFonts w:hint="eastAsia" w:ascii="仿宋_GB2312" w:hAnsi="仿宋_GB2312" w:eastAsia="仿宋_GB2312" w:cs="仿宋_GB2312"/>
          <w:sz w:val="32"/>
          <w:szCs w:val="32"/>
        </w:rPr>
        <w:t>正确引导在校学生“非必要不出校”。</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购买冷冻冰鲜食品，特别是进口鱼、肉、海鲜等冷冻食品时，要选择正规市场、超市，并做好个人防护。尽量避免用手直接接触，关注生产日期、保质期、储存条件等食品标签内容；清洗加工时，做到生熟分开，处理冷冻冰鲜食品所用的容器、刀具和砧板等器具应单独放置，要及时清洗消毒，避免交又污染；避免用不清洁的手触碰口、眼和鼻。烹调食用时做到烧熟煮透。</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left="2100" w:leftChars="10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湖南石化职院疫情防控工作领导小组办公室</w:t>
      </w:r>
    </w:p>
    <w:p>
      <w:pPr>
        <w:spacing w:line="600" w:lineRule="exact"/>
        <w:ind w:left="2100" w:leftChars="10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w:t>
      </w:r>
      <w:r>
        <w:rPr>
          <w:rFonts w:ascii="仿宋_GB2312" w:hAnsi="仿宋_GB2312" w:eastAsia="仿宋_GB2312" w:cs="仿宋_GB2312"/>
          <w:sz w:val="32"/>
          <w:szCs w:val="32"/>
        </w:rPr>
        <w:t>年11月1</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w:t>
      </w:r>
    </w:p>
    <w:p>
      <w:pPr>
        <w:jc w:val="left"/>
        <w:rPr>
          <w:rFonts w:ascii="黑体" w:hAnsi="黑体" w:eastAsia="黑体" w:cs="黑体"/>
          <w:sz w:val="28"/>
          <w:szCs w:val="36"/>
        </w:rPr>
      </w:pPr>
    </w:p>
    <w:p>
      <w:pPr>
        <w:jc w:val="left"/>
        <w:rPr>
          <w:rFonts w:ascii="黑体" w:hAnsi="黑体" w:eastAsia="黑体" w:cs="黑体"/>
          <w:sz w:val="28"/>
          <w:szCs w:val="36"/>
        </w:rPr>
      </w:pPr>
    </w:p>
    <w:p>
      <w:pPr>
        <w:jc w:val="left"/>
        <w:rPr>
          <w:rFonts w:ascii="黑体" w:hAnsi="黑体" w:eastAsia="黑体" w:cs="黑体"/>
          <w:sz w:val="28"/>
          <w:szCs w:val="36"/>
        </w:rPr>
      </w:pPr>
      <w:r>
        <w:rPr>
          <w:rFonts w:hint="eastAsia" w:ascii="黑体" w:hAnsi="黑体" w:eastAsia="黑体" w:cs="黑体"/>
          <w:sz w:val="28"/>
          <w:szCs w:val="36"/>
        </w:rPr>
        <w:t>附件1：</w:t>
      </w:r>
    </w:p>
    <w:p>
      <w:pPr>
        <w:jc w:val="center"/>
        <w:rPr>
          <w:rFonts w:ascii="黑体" w:hAnsi="黑体" w:eastAsia="黑体" w:cs="黑体"/>
          <w:b/>
          <w:sz w:val="44"/>
          <w:szCs w:val="44"/>
        </w:rPr>
      </w:pPr>
      <w:r>
        <w:rPr>
          <w:rFonts w:hint="eastAsia" w:ascii="仿宋_GB2312" w:hAnsi="仿宋_GB2312" w:eastAsia="仿宋_GB2312" w:cs="仿宋_GB2312"/>
          <w:b/>
          <w:sz w:val="44"/>
          <w:szCs w:val="44"/>
        </w:rPr>
        <w:t>湖南石化职院中风险地区旅居史师生员工信息汇总表</w:t>
      </w:r>
    </w:p>
    <w:tbl>
      <w:tblPr>
        <w:tblStyle w:val="6"/>
        <w:tblpPr w:leftFromText="180" w:rightFromText="180" w:vertAnchor="text" w:horzAnchor="page" w:tblpX="551" w:tblpY="111"/>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625"/>
        <w:gridCol w:w="1521"/>
        <w:gridCol w:w="2289"/>
        <w:gridCol w:w="1968"/>
        <w:gridCol w:w="1569"/>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8" w:type="dxa"/>
            <w:vAlign w:val="center"/>
          </w:tcPr>
          <w:p>
            <w:pPr>
              <w:jc w:val="center"/>
              <w:rPr>
                <w:rFonts w:ascii="黑体" w:hAnsi="黑体" w:eastAsia="黑体" w:cs="黑体"/>
                <w:sz w:val="24"/>
                <w:szCs w:val="32"/>
              </w:rPr>
            </w:pPr>
            <w:r>
              <w:rPr>
                <w:rFonts w:hint="eastAsia" w:ascii="黑体" w:hAnsi="黑体" w:eastAsia="黑体" w:cs="黑体"/>
                <w:sz w:val="24"/>
                <w:szCs w:val="32"/>
              </w:rPr>
              <w:t>姓名</w:t>
            </w:r>
          </w:p>
        </w:tc>
        <w:tc>
          <w:tcPr>
            <w:tcW w:w="625" w:type="dxa"/>
            <w:vAlign w:val="center"/>
          </w:tcPr>
          <w:p>
            <w:pPr>
              <w:jc w:val="center"/>
              <w:rPr>
                <w:rFonts w:ascii="黑体" w:hAnsi="黑体" w:eastAsia="黑体" w:cs="黑体"/>
                <w:sz w:val="24"/>
                <w:szCs w:val="32"/>
              </w:rPr>
            </w:pPr>
            <w:r>
              <w:rPr>
                <w:rFonts w:hint="eastAsia" w:ascii="黑体" w:hAnsi="黑体" w:eastAsia="黑体" w:cs="黑体"/>
                <w:sz w:val="24"/>
                <w:szCs w:val="32"/>
              </w:rPr>
              <w:t>性别</w:t>
            </w:r>
          </w:p>
        </w:tc>
        <w:tc>
          <w:tcPr>
            <w:tcW w:w="1521" w:type="dxa"/>
            <w:vAlign w:val="center"/>
          </w:tcPr>
          <w:p>
            <w:pPr>
              <w:jc w:val="center"/>
              <w:rPr>
                <w:rFonts w:ascii="黑体" w:hAnsi="黑体" w:eastAsia="黑体" w:cs="黑体"/>
                <w:sz w:val="24"/>
                <w:szCs w:val="32"/>
              </w:rPr>
            </w:pPr>
            <w:r>
              <w:rPr>
                <w:rFonts w:hint="eastAsia" w:ascii="黑体" w:hAnsi="黑体" w:eastAsia="黑体" w:cs="黑体"/>
                <w:sz w:val="24"/>
                <w:szCs w:val="32"/>
              </w:rPr>
              <w:t>身份（学生/教师）</w:t>
            </w:r>
          </w:p>
        </w:tc>
        <w:tc>
          <w:tcPr>
            <w:tcW w:w="2289" w:type="dxa"/>
            <w:vAlign w:val="center"/>
          </w:tcPr>
          <w:p>
            <w:pPr>
              <w:jc w:val="center"/>
              <w:rPr>
                <w:rFonts w:ascii="黑体" w:hAnsi="黑体" w:eastAsia="黑体" w:cs="黑体"/>
                <w:sz w:val="24"/>
                <w:szCs w:val="32"/>
              </w:rPr>
            </w:pPr>
            <w:r>
              <w:rPr>
                <w:rFonts w:hint="eastAsia" w:ascii="黑体" w:hAnsi="黑体" w:eastAsia="黑体" w:cs="黑体"/>
                <w:sz w:val="24"/>
                <w:szCs w:val="32"/>
              </w:rPr>
              <w:t>现居住地</w:t>
            </w:r>
          </w:p>
        </w:tc>
        <w:tc>
          <w:tcPr>
            <w:tcW w:w="1968" w:type="dxa"/>
            <w:vAlign w:val="center"/>
          </w:tcPr>
          <w:p>
            <w:pPr>
              <w:jc w:val="center"/>
              <w:rPr>
                <w:rFonts w:ascii="黑体" w:hAnsi="黑体" w:eastAsia="黑体" w:cs="黑体"/>
                <w:sz w:val="24"/>
                <w:szCs w:val="32"/>
              </w:rPr>
            </w:pPr>
            <w:r>
              <w:rPr>
                <w:rFonts w:hint="eastAsia" w:ascii="黑体" w:hAnsi="黑体" w:eastAsia="黑体" w:cs="黑体"/>
                <w:sz w:val="24"/>
                <w:szCs w:val="32"/>
              </w:rPr>
              <w:t>停留中风险地区起止时间</w:t>
            </w:r>
          </w:p>
        </w:tc>
        <w:tc>
          <w:tcPr>
            <w:tcW w:w="1569" w:type="dxa"/>
            <w:vAlign w:val="center"/>
          </w:tcPr>
          <w:p>
            <w:pPr>
              <w:jc w:val="center"/>
              <w:rPr>
                <w:rFonts w:ascii="黑体" w:hAnsi="黑体" w:eastAsia="黑体" w:cs="黑体"/>
                <w:sz w:val="24"/>
                <w:szCs w:val="32"/>
              </w:rPr>
            </w:pPr>
            <w:r>
              <w:rPr>
                <w:rFonts w:hint="eastAsia" w:ascii="黑体" w:hAnsi="黑体" w:eastAsia="黑体" w:cs="黑体"/>
                <w:sz w:val="24"/>
                <w:szCs w:val="32"/>
              </w:rPr>
              <w:t>是否已报告居住地所在社区和学校</w:t>
            </w:r>
          </w:p>
        </w:tc>
        <w:tc>
          <w:tcPr>
            <w:tcW w:w="2217" w:type="dxa"/>
            <w:vAlign w:val="center"/>
          </w:tcPr>
          <w:p>
            <w:pPr>
              <w:jc w:val="center"/>
              <w:rPr>
                <w:rFonts w:ascii="黑体" w:hAnsi="黑体" w:eastAsia="黑体" w:cs="黑体"/>
                <w:sz w:val="24"/>
                <w:szCs w:val="32"/>
              </w:rPr>
            </w:pPr>
            <w:r>
              <w:rPr>
                <w:rFonts w:hint="eastAsia" w:ascii="黑体" w:hAnsi="黑体" w:eastAsia="黑体" w:cs="黑体"/>
                <w:sz w:val="24"/>
                <w:szCs w:val="32"/>
              </w:rPr>
              <w:t>是否进行核酸检测及核酸检测结果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 w:type="dxa"/>
          </w:tcPr>
          <w:p>
            <w:pPr>
              <w:jc w:val="center"/>
              <w:rPr>
                <w:rFonts w:asciiTheme="minorEastAsia" w:hAnsiTheme="minorEastAsia" w:cstheme="minorEastAsia"/>
                <w:sz w:val="24"/>
                <w:szCs w:val="32"/>
              </w:rPr>
            </w:pPr>
          </w:p>
        </w:tc>
        <w:tc>
          <w:tcPr>
            <w:tcW w:w="625" w:type="dxa"/>
          </w:tcPr>
          <w:p>
            <w:pPr>
              <w:jc w:val="center"/>
              <w:rPr>
                <w:rFonts w:asciiTheme="minorEastAsia" w:hAnsiTheme="minorEastAsia" w:cstheme="minorEastAsia"/>
                <w:sz w:val="24"/>
                <w:szCs w:val="32"/>
              </w:rPr>
            </w:pPr>
          </w:p>
        </w:tc>
        <w:tc>
          <w:tcPr>
            <w:tcW w:w="1521" w:type="dxa"/>
          </w:tcPr>
          <w:p>
            <w:pPr>
              <w:jc w:val="center"/>
              <w:rPr>
                <w:rFonts w:asciiTheme="minorEastAsia" w:hAnsiTheme="minorEastAsia" w:cstheme="minorEastAsia"/>
                <w:sz w:val="24"/>
                <w:szCs w:val="32"/>
              </w:rPr>
            </w:pPr>
          </w:p>
        </w:tc>
        <w:tc>
          <w:tcPr>
            <w:tcW w:w="2289" w:type="dxa"/>
          </w:tcPr>
          <w:p>
            <w:pPr>
              <w:jc w:val="center"/>
              <w:rPr>
                <w:rFonts w:asciiTheme="minorEastAsia" w:hAnsiTheme="minorEastAsia" w:cstheme="minorEastAsia"/>
                <w:sz w:val="24"/>
                <w:szCs w:val="32"/>
              </w:rPr>
            </w:pPr>
          </w:p>
        </w:tc>
        <w:tc>
          <w:tcPr>
            <w:tcW w:w="1968" w:type="dxa"/>
          </w:tcPr>
          <w:p>
            <w:pPr>
              <w:jc w:val="center"/>
              <w:rPr>
                <w:rFonts w:asciiTheme="minorEastAsia" w:hAnsiTheme="minorEastAsia" w:cstheme="minorEastAsia"/>
                <w:sz w:val="24"/>
                <w:szCs w:val="32"/>
              </w:rPr>
            </w:pPr>
          </w:p>
        </w:tc>
        <w:tc>
          <w:tcPr>
            <w:tcW w:w="1569" w:type="dxa"/>
          </w:tcPr>
          <w:p>
            <w:pPr>
              <w:jc w:val="center"/>
              <w:rPr>
                <w:rFonts w:asciiTheme="minorEastAsia" w:hAnsiTheme="minorEastAsia" w:cstheme="minorEastAsia"/>
                <w:sz w:val="24"/>
                <w:szCs w:val="32"/>
              </w:rPr>
            </w:pPr>
          </w:p>
        </w:tc>
        <w:tc>
          <w:tcPr>
            <w:tcW w:w="2217" w:type="dxa"/>
          </w:tcPr>
          <w:p>
            <w:pPr>
              <w:jc w:val="center"/>
              <w:rPr>
                <w:rFonts w:asciiTheme="minorEastAsia" w:hAnsiTheme="minorEastAsia" w:cstheme="minorEastAsia"/>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 w:type="dxa"/>
          </w:tcPr>
          <w:p>
            <w:pPr>
              <w:jc w:val="center"/>
              <w:rPr>
                <w:rFonts w:asciiTheme="minorEastAsia" w:hAnsiTheme="minorEastAsia" w:cstheme="minorEastAsia"/>
                <w:sz w:val="24"/>
                <w:szCs w:val="32"/>
              </w:rPr>
            </w:pPr>
          </w:p>
        </w:tc>
        <w:tc>
          <w:tcPr>
            <w:tcW w:w="625" w:type="dxa"/>
          </w:tcPr>
          <w:p>
            <w:pPr>
              <w:jc w:val="center"/>
              <w:rPr>
                <w:rFonts w:asciiTheme="minorEastAsia" w:hAnsiTheme="minorEastAsia" w:cstheme="minorEastAsia"/>
                <w:sz w:val="24"/>
                <w:szCs w:val="32"/>
              </w:rPr>
            </w:pPr>
          </w:p>
        </w:tc>
        <w:tc>
          <w:tcPr>
            <w:tcW w:w="1521" w:type="dxa"/>
          </w:tcPr>
          <w:p>
            <w:pPr>
              <w:jc w:val="center"/>
              <w:rPr>
                <w:rFonts w:asciiTheme="minorEastAsia" w:hAnsiTheme="minorEastAsia" w:cstheme="minorEastAsia"/>
                <w:sz w:val="24"/>
                <w:szCs w:val="32"/>
              </w:rPr>
            </w:pPr>
          </w:p>
        </w:tc>
        <w:tc>
          <w:tcPr>
            <w:tcW w:w="2289" w:type="dxa"/>
          </w:tcPr>
          <w:p>
            <w:pPr>
              <w:jc w:val="center"/>
              <w:rPr>
                <w:rFonts w:asciiTheme="minorEastAsia" w:hAnsiTheme="minorEastAsia" w:cstheme="minorEastAsia"/>
                <w:sz w:val="24"/>
                <w:szCs w:val="32"/>
              </w:rPr>
            </w:pPr>
          </w:p>
        </w:tc>
        <w:tc>
          <w:tcPr>
            <w:tcW w:w="1968" w:type="dxa"/>
          </w:tcPr>
          <w:p>
            <w:pPr>
              <w:jc w:val="center"/>
              <w:rPr>
                <w:rFonts w:asciiTheme="minorEastAsia" w:hAnsiTheme="minorEastAsia" w:cstheme="minorEastAsia"/>
                <w:sz w:val="24"/>
                <w:szCs w:val="32"/>
              </w:rPr>
            </w:pPr>
          </w:p>
        </w:tc>
        <w:tc>
          <w:tcPr>
            <w:tcW w:w="1569" w:type="dxa"/>
          </w:tcPr>
          <w:p>
            <w:pPr>
              <w:jc w:val="center"/>
              <w:rPr>
                <w:rFonts w:asciiTheme="minorEastAsia" w:hAnsiTheme="minorEastAsia" w:cstheme="minorEastAsia"/>
                <w:sz w:val="24"/>
                <w:szCs w:val="32"/>
              </w:rPr>
            </w:pPr>
          </w:p>
        </w:tc>
        <w:tc>
          <w:tcPr>
            <w:tcW w:w="2217" w:type="dxa"/>
          </w:tcPr>
          <w:p>
            <w:pPr>
              <w:jc w:val="center"/>
              <w:rPr>
                <w:rFonts w:asciiTheme="minorEastAsia" w:hAnsiTheme="minorEastAsia" w:cstheme="minorEastAsia"/>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 w:type="dxa"/>
          </w:tcPr>
          <w:p>
            <w:pPr>
              <w:jc w:val="center"/>
              <w:rPr>
                <w:rFonts w:asciiTheme="minorEastAsia" w:hAnsiTheme="minorEastAsia" w:cstheme="minorEastAsia"/>
                <w:sz w:val="24"/>
                <w:szCs w:val="32"/>
              </w:rPr>
            </w:pPr>
          </w:p>
        </w:tc>
        <w:tc>
          <w:tcPr>
            <w:tcW w:w="625" w:type="dxa"/>
          </w:tcPr>
          <w:p>
            <w:pPr>
              <w:jc w:val="center"/>
              <w:rPr>
                <w:rFonts w:asciiTheme="minorEastAsia" w:hAnsiTheme="minorEastAsia" w:cstheme="minorEastAsia"/>
                <w:sz w:val="24"/>
                <w:szCs w:val="32"/>
              </w:rPr>
            </w:pPr>
          </w:p>
        </w:tc>
        <w:tc>
          <w:tcPr>
            <w:tcW w:w="1521" w:type="dxa"/>
          </w:tcPr>
          <w:p>
            <w:pPr>
              <w:jc w:val="center"/>
              <w:rPr>
                <w:rFonts w:asciiTheme="minorEastAsia" w:hAnsiTheme="minorEastAsia" w:cstheme="minorEastAsia"/>
                <w:sz w:val="24"/>
                <w:szCs w:val="32"/>
              </w:rPr>
            </w:pPr>
          </w:p>
        </w:tc>
        <w:tc>
          <w:tcPr>
            <w:tcW w:w="2289" w:type="dxa"/>
          </w:tcPr>
          <w:p>
            <w:pPr>
              <w:jc w:val="center"/>
              <w:rPr>
                <w:rFonts w:asciiTheme="minorEastAsia" w:hAnsiTheme="minorEastAsia" w:cstheme="minorEastAsia"/>
                <w:sz w:val="24"/>
                <w:szCs w:val="32"/>
              </w:rPr>
            </w:pPr>
          </w:p>
        </w:tc>
        <w:tc>
          <w:tcPr>
            <w:tcW w:w="1968" w:type="dxa"/>
          </w:tcPr>
          <w:p>
            <w:pPr>
              <w:jc w:val="center"/>
              <w:rPr>
                <w:rFonts w:asciiTheme="minorEastAsia" w:hAnsiTheme="minorEastAsia" w:cstheme="minorEastAsia"/>
                <w:sz w:val="24"/>
                <w:szCs w:val="32"/>
              </w:rPr>
            </w:pPr>
          </w:p>
        </w:tc>
        <w:tc>
          <w:tcPr>
            <w:tcW w:w="1569" w:type="dxa"/>
          </w:tcPr>
          <w:p>
            <w:pPr>
              <w:jc w:val="center"/>
              <w:rPr>
                <w:rFonts w:asciiTheme="minorEastAsia" w:hAnsiTheme="minorEastAsia" w:cstheme="minorEastAsia"/>
                <w:sz w:val="24"/>
                <w:szCs w:val="32"/>
              </w:rPr>
            </w:pPr>
          </w:p>
        </w:tc>
        <w:tc>
          <w:tcPr>
            <w:tcW w:w="2217" w:type="dxa"/>
          </w:tcPr>
          <w:p>
            <w:pPr>
              <w:jc w:val="center"/>
              <w:rPr>
                <w:rFonts w:asciiTheme="minorEastAsia" w:hAnsiTheme="minorEastAsia" w:cstheme="minorEastAsia"/>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 w:type="dxa"/>
          </w:tcPr>
          <w:p>
            <w:pPr>
              <w:jc w:val="center"/>
              <w:rPr>
                <w:rFonts w:asciiTheme="minorEastAsia" w:hAnsiTheme="minorEastAsia" w:cstheme="minorEastAsia"/>
                <w:sz w:val="24"/>
                <w:szCs w:val="32"/>
              </w:rPr>
            </w:pPr>
          </w:p>
        </w:tc>
        <w:tc>
          <w:tcPr>
            <w:tcW w:w="625" w:type="dxa"/>
          </w:tcPr>
          <w:p>
            <w:pPr>
              <w:jc w:val="center"/>
              <w:rPr>
                <w:rFonts w:asciiTheme="minorEastAsia" w:hAnsiTheme="minorEastAsia" w:cstheme="minorEastAsia"/>
                <w:sz w:val="24"/>
                <w:szCs w:val="32"/>
              </w:rPr>
            </w:pPr>
          </w:p>
        </w:tc>
        <w:tc>
          <w:tcPr>
            <w:tcW w:w="1521" w:type="dxa"/>
          </w:tcPr>
          <w:p>
            <w:pPr>
              <w:jc w:val="center"/>
              <w:rPr>
                <w:rFonts w:asciiTheme="minorEastAsia" w:hAnsiTheme="minorEastAsia" w:cstheme="minorEastAsia"/>
                <w:sz w:val="24"/>
                <w:szCs w:val="32"/>
              </w:rPr>
            </w:pPr>
          </w:p>
        </w:tc>
        <w:tc>
          <w:tcPr>
            <w:tcW w:w="2289" w:type="dxa"/>
          </w:tcPr>
          <w:p>
            <w:pPr>
              <w:jc w:val="center"/>
              <w:rPr>
                <w:rFonts w:asciiTheme="minorEastAsia" w:hAnsiTheme="minorEastAsia" w:cstheme="minorEastAsia"/>
                <w:sz w:val="24"/>
                <w:szCs w:val="32"/>
              </w:rPr>
            </w:pPr>
          </w:p>
        </w:tc>
        <w:tc>
          <w:tcPr>
            <w:tcW w:w="1968" w:type="dxa"/>
          </w:tcPr>
          <w:p>
            <w:pPr>
              <w:jc w:val="center"/>
              <w:rPr>
                <w:rFonts w:asciiTheme="minorEastAsia" w:hAnsiTheme="minorEastAsia" w:cstheme="minorEastAsia"/>
                <w:sz w:val="24"/>
                <w:szCs w:val="32"/>
              </w:rPr>
            </w:pPr>
          </w:p>
        </w:tc>
        <w:tc>
          <w:tcPr>
            <w:tcW w:w="1569" w:type="dxa"/>
          </w:tcPr>
          <w:p>
            <w:pPr>
              <w:jc w:val="center"/>
              <w:rPr>
                <w:rFonts w:asciiTheme="minorEastAsia" w:hAnsiTheme="minorEastAsia" w:cstheme="minorEastAsia"/>
                <w:sz w:val="24"/>
                <w:szCs w:val="32"/>
              </w:rPr>
            </w:pPr>
          </w:p>
        </w:tc>
        <w:tc>
          <w:tcPr>
            <w:tcW w:w="2217" w:type="dxa"/>
          </w:tcPr>
          <w:p>
            <w:pPr>
              <w:jc w:val="center"/>
              <w:rPr>
                <w:rFonts w:asciiTheme="minorEastAsia" w:hAnsiTheme="minorEastAsia" w:cstheme="minorEastAsia"/>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 w:type="dxa"/>
          </w:tcPr>
          <w:p>
            <w:pPr>
              <w:jc w:val="center"/>
              <w:rPr>
                <w:rFonts w:asciiTheme="minorEastAsia" w:hAnsiTheme="minorEastAsia" w:cstheme="minorEastAsia"/>
                <w:sz w:val="24"/>
                <w:szCs w:val="32"/>
              </w:rPr>
            </w:pPr>
          </w:p>
        </w:tc>
        <w:tc>
          <w:tcPr>
            <w:tcW w:w="625" w:type="dxa"/>
          </w:tcPr>
          <w:p>
            <w:pPr>
              <w:jc w:val="center"/>
              <w:rPr>
                <w:rFonts w:asciiTheme="minorEastAsia" w:hAnsiTheme="minorEastAsia" w:cstheme="minorEastAsia"/>
                <w:sz w:val="24"/>
                <w:szCs w:val="32"/>
              </w:rPr>
            </w:pPr>
          </w:p>
        </w:tc>
        <w:tc>
          <w:tcPr>
            <w:tcW w:w="1521" w:type="dxa"/>
          </w:tcPr>
          <w:p>
            <w:pPr>
              <w:jc w:val="center"/>
              <w:rPr>
                <w:rFonts w:asciiTheme="minorEastAsia" w:hAnsiTheme="minorEastAsia" w:cstheme="minorEastAsia"/>
                <w:sz w:val="24"/>
                <w:szCs w:val="32"/>
              </w:rPr>
            </w:pPr>
          </w:p>
        </w:tc>
        <w:tc>
          <w:tcPr>
            <w:tcW w:w="2289" w:type="dxa"/>
          </w:tcPr>
          <w:p>
            <w:pPr>
              <w:jc w:val="center"/>
              <w:rPr>
                <w:rFonts w:asciiTheme="minorEastAsia" w:hAnsiTheme="minorEastAsia" w:cstheme="minorEastAsia"/>
                <w:sz w:val="24"/>
                <w:szCs w:val="32"/>
              </w:rPr>
            </w:pPr>
          </w:p>
        </w:tc>
        <w:tc>
          <w:tcPr>
            <w:tcW w:w="1968" w:type="dxa"/>
          </w:tcPr>
          <w:p>
            <w:pPr>
              <w:jc w:val="center"/>
              <w:rPr>
                <w:rFonts w:asciiTheme="minorEastAsia" w:hAnsiTheme="minorEastAsia" w:cstheme="minorEastAsia"/>
                <w:sz w:val="24"/>
                <w:szCs w:val="32"/>
              </w:rPr>
            </w:pPr>
          </w:p>
        </w:tc>
        <w:tc>
          <w:tcPr>
            <w:tcW w:w="1569" w:type="dxa"/>
          </w:tcPr>
          <w:p>
            <w:pPr>
              <w:jc w:val="center"/>
              <w:rPr>
                <w:rFonts w:asciiTheme="minorEastAsia" w:hAnsiTheme="minorEastAsia" w:cstheme="minorEastAsia"/>
                <w:sz w:val="24"/>
                <w:szCs w:val="32"/>
              </w:rPr>
            </w:pPr>
          </w:p>
        </w:tc>
        <w:tc>
          <w:tcPr>
            <w:tcW w:w="2217" w:type="dxa"/>
          </w:tcPr>
          <w:p>
            <w:pPr>
              <w:jc w:val="center"/>
              <w:rPr>
                <w:rFonts w:asciiTheme="minorEastAsia" w:hAnsiTheme="minorEastAsia" w:cstheme="minorEastAsia"/>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28" w:type="dxa"/>
          </w:tcPr>
          <w:p>
            <w:pPr>
              <w:jc w:val="center"/>
              <w:rPr>
                <w:rFonts w:asciiTheme="minorEastAsia" w:hAnsiTheme="minorEastAsia" w:cstheme="minorEastAsia"/>
                <w:sz w:val="24"/>
                <w:szCs w:val="32"/>
              </w:rPr>
            </w:pPr>
          </w:p>
        </w:tc>
        <w:tc>
          <w:tcPr>
            <w:tcW w:w="625" w:type="dxa"/>
          </w:tcPr>
          <w:p>
            <w:pPr>
              <w:jc w:val="center"/>
              <w:rPr>
                <w:rFonts w:asciiTheme="minorEastAsia" w:hAnsiTheme="minorEastAsia" w:cstheme="minorEastAsia"/>
                <w:sz w:val="24"/>
                <w:szCs w:val="32"/>
              </w:rPr>
            </w:pPr>
          </w:p>
        </w:tc>
        <w:tc>
          <w:tcPr>
            <w:tcW w:w="1521" w:type="dxa"/>
          </w:tcPr>
          <w:p>
            <w:pPr>
              <w:jc w:val="center"/>
              <w:rPr>
                <w:rFonts w:asciiTheme="minorEastAsia" w:hAnsiTheme="minorEastAsia" w:cstheme="minorEastAsia"/>
                <w:sz w:val="24"/>
                <w:szCs w:val="32"/>
              </w:rPr>
            </w:pPr>
          </w:p>
        </w:tc>
        <w:tc>
          <w:tcPr>
            <w:tcW w:w="2289" w:type="dxa"/>
          </w:tcPr>
          <w:p>
            <w:pPr>
              <w:jc w:val="center"/>
              <w:rPr>
                <w:rFonts w:asciiTheme="minorEastAsia" w:hAnsiTheme="minorEastAsia" w:cstheme="minorEastAsia"/>
                <w:sz w:val="24"/>
                <w:szCs w:val="32"/>
              </w:rPr>
            </w:pPr>
          </w:p>
        </w:tc>
        <w:tc>
          <w:tcPr>
            <w:tcW w:w="1968" w:type="dxa"/>
          </w:tcPr>
          <w:p>
            <w:pPr>
              <w:jc w:val="center"/>
              <w:rPr>
                <w:rFonts w:asciiTheme="minorEastAsia" w:hAnsiTheme="minorEastAsia" w:cstheme="minorEastAsia"/>
                <w:sz w:val="24"/>
                <w:szCs w:val="32"/>
              </w:rPr>
            </w:pPr>
          </w:p>
        </w:tc>
        <w:tc>
          <w:tcPr>
            <w:tcW w:w="1569" w:type="dxa"/>
          </w:tcPr>
          <w:p>
            <w:pPr>
              <w:jc w:val="center"/>
              <w:rPr>
                <w:rFonts w:asciiTheme="minorEastAsia" w:hAnsiTheme="minorEastAsia" w:cstheme="minorEastAsia"/>
                <w:sz w:val="24"/>
                <w:szCs w:val="32"/>
              </w:rPr>
            </w:pPr>
          </w:p>
        </w:tc>
        <w:tc>
          <w:tcPr>
            <w:tcW w:w="2217" w:type="dxa"/>
          </w:tcPr>
          <w:p>
            <w:pPr>
              <w:jc w:val="center"/>
              <w:rPr>
                <w:rFonts w:asciiTheme="minorEastAsia" w:hAnsiTheme="minorEastAsia" w:cstheme="minorEastAsia"/>
                <w:sz w:val="24"/>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84A8FB"/>
    <w:multiLevelType w:val="singleLevel"/>
    <w:tmpl w:val="D284A8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65B4909"/>
    <w:rsid w:val="001671C7"/>
    <w:rsid w:val="00446BF1"/>
    <w:rsid w:val="005A7CF5"/>
    <w:rsid w:val="00755D05"/>
    <w:rsid w:val="00AE408D"/>
    <w:rsid w:val="00C875D4"/>
    <w:rsid w:val="00F20521"/>
    <w:rsid w:val="00FD7FD4"/>
    <w:rsid w:val="01464BDA"/>
    <w:rsid w:val="05DE7C31"/>
    <w:rsid w:val="065B4909"/>
    <w:rsid w:val="0C465161"/>
    <w:rsid w:val="11C34340"/>
    <w:rsid w:val="11E8678E"/>
    <w:rsid w:val="163C7CED"/>
    <w:rsid w:val="16B062AC"/>
    <w:rsid w:val="19EF3EB2"/>
    <w:rsid w:val="25B3682B"/>
    <w:rsid w:val="35CA7B45"/>
    <w:rsid w:val="37E173B5"/>
    <w:rsid w:val="3A4D74B6"/>
    <w:rsid w:val="3AB11F13"/>
    <w:rsid w:val="3C461DCF"/>
    <w:rsid w:val="3F9C0738"/>
    <w:rsid w:val="493F3823"/>
    <w:rsid w:val="49D742B8"/>
    <w:rsid w:val="4E684BC8"/>
    <w:rsid w:val="4FAC6683"/>
    <w:rsid w:val="508D777A"/>
    <w:rsid w:val="53BD3FA2"/>
    <w:rsid w:val="53EF6C09"/>
    <w:rsid w:val="63AB126F"/>
    <w:rsid w:val="65A712C4"/>
    <w:rsid w:val="69491835"/>
    <w:rsid w:val="77BF0599"/>
    <w:rsid w:val="780E4880"/>
    <w:rsid w:val="7862343D"/>
    <w:rsid w:val="796F7A98"/>
    <w:rsid w:val="7CC972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186</Words>
  <Characters>1065</Characters>
  <Lines>8</Lines>
  <Paragraphs>2</Paragraphs>
  <TotalTime>25</TotalTime>
  <ScaleCrop>false</ScaleCrop>
  <LinksUpToDate>false</LinksUpToDate>
  <CharactersWithSpaces>1249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2020-11-12T00:25:00Z</dcterms:created>
  <dc:creator>XSC666</dc:creator>
  <cp:lastModifiedBy>962060282</cp:lastModifiedBy>
  <dcterms:modified xsi:type="dcterms:W3CDTF">2020-12-10T00:48:31Z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